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По словам министра, изменения назревают давно, однако пока их концепция обсуждается и тщательно прорабатывается. Кроме того, на их внедрение в систему также заложено время. Поэтому выпускники 2014 года могли не опасаться: они сдавали экзамен по-старому.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Российским вузам также было рекомендовано не </w:t>
      </w:r>
      <w:proofErr w:type="gramStart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вносить</w:t>
      </w:r>
      <w:proofErr w:type="gramEnd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 коррективы в правила приема. В своем заявлении от 10 сентября 2013 года Ливанов специально уточнил, что «мы не будем в следующем году учитывать при приеме в вузы портфолио и средние баллы аттестата, потому что мы к этому не готовы».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b/>
          <w:bCs/>
          <w:color w:val="7A7A7A"/>
          <w:sz w:val="21"/>
          <w:szCs w:val="21"/>
          <w:lang w:eastAsia="ru-RU"/>
        </w:rPr>
        <w:t>Изменения ЕГЭ 2015 — чего ждать?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Главным изменением, которое претерпит система ЕГЭ, станет учёт достижений выпускника помимо балла за тест – итогового сочинения и портфолио школьника. Таким образом, это даст возможность тем, кто по некоторым обстоятельствам не очень хорошо сдал ЕГЭ, но отлично учился, составить конкуренцию выпускникам с более высоким баллом.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Как заявил глава </w:t>
      </w:r>
      <w:proofErr w:type="gramStart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Общества защиты прав потребителей образовательных услуг</w:t>
      </w:r>
      <w:proofErr w:type="gramEnd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 Виктор Панин, «вопрос о портфолио пока не обсуждался широко со школами и вузами, единого мнения нет». </w:t>
      </w:r>
      <w:proofErr w:type="gramStart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Однако</w:t>
      </w:r>
      <w:proofErr w:type="gramEnd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 по мнению чиновника, «портфолио должно включать в себя творческие успехи, достижения в спорте, олимпиадах. В нем должен быть модульный набор, свидетельствующий об интересах учащихся, обобщающая информация в целом».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В итоге проходной балл в вуз будет складываться суммированием следующих достижений:</w:t>
      </w:r>
    </w:p>
    <w:p w:rsidR="00C277A3" w:rsidRPr="00C277A3" w:rsidRDefault="00C277A3" w:rsidP="00C277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Результат тестирования ЕГЭ;</w:t>
      </w:r>
    </w:p>
    <w:p w:rsidR="00C277A3" w:rsidRPr="00C277A3" w:rsidRDefault="00C277A3" w:rsidP="00C277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Баллы за итоговое сочинение (максимально 10, если вуз рассматривает творческую работу);</w:t>
      </w:r>
    </w:p>
    <w:p w:rsidR="00C277A3" w:rsidRPr="00C277A3" w:rsidRDefault="00C277A3" w:rsidP="00C277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Баллы за достижения в соответствии с портфолио выпускника (максимально 10, в соответствии с перечнем вуза);</w:t>
      </w:r>
    </w:p>
    <w:p w:rsidR="00C277A3" w:rsidRPr="00C277A3" w:rsidRDefault="00C277A3" w:rsidP="00C277A3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Это позволит «гораздо шире смотреть на результаты» выпускников и более объективно оценивать их школьные достижения. Однако учёт дополнительных достижений (портфолио, баллы за сочинение) пока не прописан документально. Каждый вуз пока может решать сам: учитывать или нет.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Помимо этого также рассматривается вариант полного раскрытия всех заданий единого государственного экзамена, однако в 2015 году </w:t>
      </w:r>
      <w:proofErr w:type="spellStart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КИМы</w:t>
      </w:r>
      <w:proofErr w:type="spellEnd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 ЕГЭ будут только частично формироваться из открытого банка заданий. Кроме этого предусмотрено развитие института федеральных наблюдателей.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Об этих изменениях заговорили сами учителя, когда на выпускных экзаменах начали фиксировать массовые списывания. На осенней встрече учителей с президентом России Владимиром Путиным они обосновали необходимость раскрытия информации возможностью готовиться к ЕГЭ «предметно, а не вхолостую». По их мнению, если школьник будет точно знать, что он будет сдавать, он будет готовиться целенаправленно, что позволит ему сдать экзамен самостоятельно, не прибегая к шпаргалкам.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Институт федеральных наблюдателей, в свою очередь, позволит сделать процедуру сдачи ЕГЭ более прозрачной: снизить количество фактов коррупции, взяточничества и подлога.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В любом случае, как добавил Дмитрий Ливанов, все изменения ЕГЭ 2015 будут приняты заблаговременно, чтобы выпускники смогли тщательно подготовиться. Кроме того, правила приема в вузы должны быть приняты до 1 октября, а не весной, как это было раньше.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lastRenderedPageBreak/>
        <w:t xml:space="preserve">На своём официальном сайте </w:t>
      </w:r>
      <w:proofErr w:type="spellStart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Рособрнадзор</w:t>
      </w:r>
      <w:proofErr w:type="spellEnd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, в свою очередь, уже начал собирать все предложения от выпускников и их родителей по модернизации выпускных экзаменов. Высказать свое мнение или оставить предложение может любой желающий.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Для удобства мы внесли информацию по изменениям ЕГЭ 2015 в таблицу.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both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Ежегодно задания для ЕГЭ совершенствуются путем внесения необходимых корректировок. Ниже размещен перечень изменений, которые произошли в </w:t>
      </w:r>
      <w:proofErr w:type="spellStart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КИМах</w:t>
      </w:r>
      <w:proofErr w:type="spellEnd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, структуре и содержании ЕГЭ с 2014 по 2015 год, а также изменений, которые ожидаются в 2015 году и позже по каждому учебному предмету. Окончательные изменения в структуре ЕГЭ на 2014-2015 учебный год, </w:t>
      </w:r>
      <w:proofErr w:type="spellStart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>Рособрнадзором</w:t>
      </w:r>
      <w:proofErr w:type="spellEnd"/>
      <w:r w:rsidRPr="00C277A3"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  <w:t xml:space="preserve"> были утверждены к сентябрю.</w:t>
      </w:r>
    </w:p>
    <w:p w:rsidR="00C277A3" w:rsidRPr="00C277A3" w:rsidRDefault="00C277A3" w:rsidP="00C277A3">
      <w:pPr>
        <w:shd w:val="clear" w:color="auto" w:fill="FFFFFF"/>
        <w:spacing w:after="315" w:line="240" w:lineRule="auto"/>
        <w:jc w:val="center"/>
        <w:rPr>
          <w:rFonts w:ascii="Helvetica" w:eastAsia="Times New Roman" w:hAnsi="Helvetica" w:cs="Helvetica"/>
          <w:color w:val="7A7A7A"/>
          <w:sz w:val="21"/>
          <w:szCs w:val="21"/>
          <w:lang w:eastAsia="ru-RU"/>
        </w:rPr>
      </w:pPr>
      <w:r w:rsidRPr="00C277A3">
        <w:rPr>
          <w:rFonts w:ascii="Helvetica" w:eastAsia="Times New Roman" w:hAnsi="Helvetica" w:cs="Helvetica"/>
          <w:b/>
          <w:bCs/>
          <w:color w:val="7A7A7A"/>
          <w:sz w:val="21"/>
          <w:szCs w:val="21"/>
          <w:lang w:eastAsia="ru-RU"/>
        </w:rPr>
        <w:t>ТАБЛИЦА ИЗМЕНЕНИЙ ЕГЭ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4148"/>
        <w:gridCol w:w="3722"/>
      </w:tblGrid>
      <w:tr w:rsidR="00C277A3" w:rsidRPr="00C277A3" w:rsidTr="00C277A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  <w:t>Структура ЕГЭ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  <w:t>2014-2015 учебный год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  <w:t>позже 2015 года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Допуск к ЕГЭ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1.Получают только ученики, успешно написавшие выпускное сочинение (проведение зачетного сочинения – в декабре, оценка по системе зачет/незачет, возможны 3 попытки написания сочинения: в декабре с возможностью пересдачи в феврале и мае). Утверждены направления тем сочинений на 2014-2015 </w:t>
            </w:r>
            <w:proofErr w:type="spellStart"/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: «недаром помнит вся Россия» (сочинение по произведениям М. Ю. Лермонтова); вопросы, заданные человечеству войной; человек и природа в отечественной и мировой литературе; спор поколений: вместе и врозь; чем люди живы?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 Без изменений.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Общая структура ЕГЭ (для большинства предметов)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 Существенно сократиться число заданий с возможностью выбора ответа.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1.Рассматривается вопрос об отмене блока «А»;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 xml:space="preserve">2. </w:t>
            </w:r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Разделение ЕГЭ на базовый и профильный уровни (нововведение уже внедрено в ЕГЭ по математике).</w:t>
            </w:r>
            <w:proofErr w:type="gram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ЕГЭ базового уровня необходимо будет пройти тем учащимся, которым сдача предмета необходима только для получения школьного аттестата. Профильный экзамен будут сдавать выпускники, которые планируют предъявить результаты ЕГЭ по данной дисциплине в приемную комиссию ВУЗа. В перспективе планируется дать возможность учащемуся выбрать не только блок экзамена, но и сам курс: например, базовый по одному 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 xml:space="preserve">предмету и более продвинутый - </w:t>
            </w:r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по другому</w:t>
            </w:r>
            <w:proofErr w:type="gram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. Т.е. школьники получат право выбирать те предметы, которые им интересны и </w:t>
            </w:r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получать</w:t>
            </w:r>
            <w:proofErr w:type="gram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по ним более глубокие знания.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>Процедура проведения ЕГЭ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 Планируется создать открытый банк заданий ЕГЭ на сайте ФИПИ, из которого, по крайней мере, частично будут сформированы </w:t>
            </w:r>
            <w:proofErr w:type="spell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КИМы</w:t>
            </w:r>
            <w:proofErr w:type="spell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экзамена.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 xml:space="preserve">2. Сокращение количества периодов сдачи ЕГЭ. 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 xml:space="preserve">2. Вместо трех волн будет четыре. В феврале выпускники прошлых лет смогут сдать ЕГЭ по русскому языку, а также ЕГЭ по географии смогут сдать 11-классники, которые уже завершили изучение данной дисциплины. Досрочная волна пройдет в апреле. Право сдавать экзамены заранее получат все участники ЕГЭ, а не только определенные категории, как это было раньше. Основной этап ЕГЭ состоится в мае-июне. Дополнительного этапа в июле в этом году не будет, но учащиеся, которые </w:t>
            </w:r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получили неудовлетворительный балл по любому предмету смогут</w:t>
            </w:r>
            <w:proofErr w:type="gram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пересдать ЕГЭ в сентябре и с новыми результатами поступить на коммерческое или заочное отделение ВУЗа.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 xml:space="preserve">3. Учащиеся получат возможность сдать ЕГЭ по окончанию курса, а не только по окончанию школы. 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>4. В случае неудовлетворительного результата по любому из предметов, выпускник будет иметь возможность пересдать экзамен в текущем году.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 xml:space="preserve">5. </w:t>
            </w:r>
            <w:proofErr w:type="spell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Рособрнадзор</w:t>
            </w:r>
            <w:proofErr w:type="spell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обещал в приоритетном режиме в этом году открыть независимые пункты сдачи ЕГЭ во всех регионах, что позволит проводить экзамен несколько раз в год.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 Без изменений.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Исправление итогов ЕГЭ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 В случае неудовлетворительного результата, учащийся будет иметь возможность пересдать экзамен в текущем году.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 Без изменений.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>Учет баллов при поступлении в ВУЗ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 Учащиеся смогут получить дополнительные баллы к результату ЕГЭ, представив в ВУЗ свое выпускное сочинение. Решение о рассмотрение сочинений абитуриентов, а также о начислении баллов остается за ВУЗом. Максимальное количество баллов, которое может принести творческая работа - 10 баллов. 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 xml:space="preserve">2. Абитуриенты смогут получить дополнительные баллы при поступлении в ВУЗ, имея золотую или серебряную медаль, медали Олимпийских и </w:t>
            </w:r>
            <w:proofErr w:type="spell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Паралимпийских</w:t>
            </w:r>
            <w:proofErr w:type="spell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Игр, Чемпионата мира, заняв призовые места на всероссийских олимпиадах школьников, имея значок ГТО или выполняя волонтерскую работу. Список личных достижений и возможность получения за них дополнительных баллов ВУЗы определяют самостоятельно. Максимально индивидуальные достижения могут принести до 10 баллов.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В случае перехода на двухуровневую систему сдачи ЕГЭ, ВУЗы будут принимать только результаты профильного ЕГЭ. </w:t>
            </w:r>
          </w:p>
        </w:tc>
      </w:tr>
    </w:tbl>
    <w:p w:rsidR="00C277A3" w:rsidRPr="00C277A3" w:rsidRDefault="00C277A3" w:rsidP="00C277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7A7A7A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4213"/>
        <w:gridCol w:w="3455"/>
      </w:tblGrid>
      <w:tr w:rsidR="00C277A3" w:rsidRPr="00C277A3" w:rsidTr="00C277A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  <w:t>Предмет ЕГЭ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  <w:t xml:space="preserve">2014-2015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b/>
                <w:bCs/>
                <w:color w:val="7A7A7A"/>
                <w:sz w:val="21"/>
                <w:szCs w:val="21"/>
                <w:lang w:eastAsia="ru-RU"/>
              </w:rPr>
              <w:t>Позже 2015 года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 Исчезнет часть</w:t>
            </w:r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КИМов</w:t>
            </w:r>
            <w:proofErr w:type="spell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ЕГЭ по предмету.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1.Расширение части «С».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>2.Появление двухуровневой системы сдачи экзамена: для поступления в гуманитарные ВУЗы, выпускники будут сдавать экзамен на профильном уровне, а для поступления в технические ВУЗы – на базовом;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 xml:space="preserve">3.Появление устной части. </w:t>
            </w:r>
            <w:proofErr w:type="gramEnd"/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Разделение ЕГЭ по математики на базовый и профильный уровни.</w:t>
            </w:r>
            <w:proofErr w:type="gram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Знание основ математике будет необходимо для получения школьником аттестата, а сдача полного экзамена - для поступления на профильные специальности ВУЗа. Выбор возможности проведения двухуровневого ЕГЭ по математике (базовый и профильный варианты), либо только профильного ЕГЭ 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>оставляется за регионами.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>2. Повышение минимального балла ЕГЭ профильного уровня до 27 баллов.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>Без изменений.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Без изменений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1.Увеличение времени выполнения работы: с 210 до 235 минут. 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 xml:space="preserve">2.Была оптимизирована структура </w:t>
            </w:r>
            <w:proofErr w:type="spell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КИМов</w:t>
            </w:r>
            <w:proofErr w:type="spell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, в результате чего общее количество вопросов сократилось, но возросла их средняя сложность.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>3. Минимальный тестовый балл был увеличен с 39 до 42.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1.Рассматривается вариант появление устной части.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 Оптимизирована структура </w:t>
            </w:r>
            <w:proofErr w:type="spell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КИМов</w:t>
            </w:r>
            <w:proofErr w:type="spell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: уменьшено число заданий с выбором ответа (с 28 до 26). Уменьшено общее количество первичных баллов (с 65 до 64), а также усовершенствована система оценивания задания по молекулярной формуле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Без изменений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 Группой известных деятелей главе государства направлено предложение о введении физики в качестве обязательного к сдаче ЕГЭ предмета. Предложение рассматривается.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1.Появление устной части «говорение», которая будет проходить в отдельный день и сможет принести до 20 баллов к общему результату ЕГЭ по предмету.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>2. Минимальный тестовый балл был повышен с 20 до 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объявило о введении обязательного ЕГЭ по иностранному языку, </w:t>
            </w:r>
            <w:proofErr w:type="gram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однако</w:t>
            </w:r>
            <w:proofErr w:type="gram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 не ранее 2020 года.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 Учащиеся смогут сдать ЕГЭ по географии после 10 класса, по окончании школьного курса по предмету. Выпускники 2015 года смогут пройти тестирование в форме ЕГЭ по географии в феврале 2015 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>года.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>Без изменений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 xml:space="preserve">1. Оптимизирована структура </w:t>
            </w:r>
            <w:proofErr w:type="spellStart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КИМов</w:t>
            </w:r>
            <w:proofErr w:type="spellEnd"/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: уменьшено число заданий с выбором ответа, но увеличено количество вопросов с развернутым ответом. В результате общее число вопросов уменьшилось с 50 до 40, но средняя сложность заданий стала выше.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Без изменений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1.Проведение экзамена в форме сочинения;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>2.Возможно появление устной части.</w:t>
            </w:r>
          </w:p>
        </w:tc>
      </w:tr>
      <w:tr w:rsidR="00C277A3" w:rsidRPr="00C277A3" w:rsidTr="00C277A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77A3" w:rsidRPr="00C277A3" w:rsidRDefault="00C277A3" w:rsidP="00C277A3">
            <w:pPr>
              <w:spacing w:after="240" w:line="240" w:lineRule="auto"/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</w:pP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t>1.Возможно появление устной части</w:t>
            </w:r>
            <w:r w:rsidRPr="00C277A3">
              <w:rPr>
                <w:rFonts w:ascii="Helvetica" w:eastAsia="Times New Roman" w:hAnsi="Helvetica" w:cs="Helvetica"/>
                <w:color w:val="7A7A7A"/>
                <w:sz w:val="21"/>
                <w:szCs w:val="21"/>
                <w:lang w:eastAsia="ru-RU"/>
              </w:rPr>
              <w:br/>
              <w:t>2. Группой общественных деятелей обсуждается возможность введения обязательного ЕГЭ по истории.</w:t>
            </w:r>
          </w:p>
        </w:tc>
      </w:tr>
    </w:tbl>
    <w:p w:rsidR="00E21713" w:rsidRDefault="00E21713">
      <w:bookmarkStart w:id="0" w:name="_GoBack"/>
      <w:bookmarkEnd w:id="0"/>
    </w:p>
    <w:sectPr w:rsidR="00E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F10"/>
    <w:multiLevelType w:val="multilevel"/>
    <w:tmpl w:val="71C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E4"/>
    <w:rsid w:val="00234FE4"/>
    <w:rsid w:val="00C277A3"/>
    <w:rsid w:val="00E2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8603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</dc:creator>
  <cp:keywords/>
  <dc:description/>
  <cp:lastModifiedBy>титан</cp:lastModifiedBy>
  <cp:revision>3</cp:revision>
  <dcterms:created xsi:type="dcterms:W3CDTF">2014-11-11T07:16:00Z</dcterms:created>
  <dcterms:modified xsi:type="dcterms:W3CDTF">2014-11-11T07:17:00Z</dcterms:modified>
</cp:coreProperties>
</file>